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26D6" w14:textId="77777777" w:rsidR="00D870D3" w:rsidRDefault="00000000">
      <w:pPr>
        <w:spacing w:after="0" w:line="259" w:lineRule="auto"/>
        <w:ind w:left="0" w:firstLine="0"/>
      </w:pPr>
      <w:r>
        <w:rPr>
          <w:sz w:val="40"/>
        </w:rPr>
        <w:t xml:space="preserve">Tarieven </w:t>
      </w:r>
    </w:p>
    <w:p w14:paraId="02C0CA85" w14:textId="77777777" w:rsidR="00D870D3" w:rsidRDefault="00000000">
      <w:pPr>
        <w:ind w:left="-5"/>
      </w:pPr>
      <w:r>
        <w:t>Een kennismakingsgesprek/intake is kosteloos, mits u besluit gebruik te maken van de diensten "de Schatkist".</w:t>
      </w:r>
      <w:r>
        <w:rPr>
          <w:sz w:val="22"/>
        </w:rPr>
        <w:t xml:space="preserve"> </w:t>
      </w:r>
      <w:r>
        <w:t xml:space="preserve">Besluit u na het kennismakingsgesprek/intake geen gebruik te maken van de diensten, dan wordt het uurtarief </w:t>
      </w:r>
      <w:proofErr w:type="gramStart"/>
      <w:r>
        <w:t xml:space="preserve">van </w:t>
      </w:r>
      <w:r>
        <w:rPr>
          <w:sz w:val="22"/>
        </w:rPr>
        <w:t xml:space="preserve"> </w:t>
      </w:r>
      <w:r>
        <w:rPr>
          <w:rFonts w:ascii="Gautami" w:eastAsia="Gautami" w:hAnsi="Gautami" w:cs="Gautami"/>
        </w:rPr>
        <w:t>€</w:t>
      </w:r>
      <w:proofErr w:type="gramEnd"/>
      <w:r>
        <w:t xml:space="preserve"> 60,00 in rekening gebracht. </w:t>
      </w:r>
    </w:p>
    <w:p w14:paraId="3925FD93" w14:textId="77777777" w:rsidR="00D870D3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963" w:type="dxa"/>
        <w:tblInd w:w="1" w:type="dxa"/>
        <w:tblCellMar>
          <w:top w:w="53" w:type="dxa"/>
          <w:left w:w="104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735"/>
        <w:gridCol w:w="3228"/>
      </w:tblGrid>
      <w:tr w:rsidR="00D870D3" w14:paraId="3CE75E09" w14:textId="77777777">
        <w:trPr>
          <w:trHeight w:val="465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017DBF29" w14:textId="77777777" w:rsidR="00D870D3" w:rsidRDefault="00000000">
            <w:pPr>
              <w:spacing w:after="0" w:line="259" w:lineRule="auto"/>
              <w:ind w:left="0" w:firstLine="0"/>
            </w:pPr>
            <w:r>
              <w:t>Tarieven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01B2856" w14:textId="77777777" w:rsidR="00D870D3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D870D3" w14:paraId="535299CD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130F48B4" w14:textId="7DEE3D31" w:rsidR="00D870D3" w:rsidRDefault="00BB1345">
            <w:pPr>
              <w:spacing w:after="0" w:line="259" w:lineRule="auto"/>
              <w:ind w:left="0" w:firstLine="0"/>
            </w:pPr>
            <w:r>
              <w:t>Sessie van 30 minuten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4C64D52A" w14:textId="0777A02F" w:rsidR="00D870D3" w:rsidRDefault="00000000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</w:t>
            </w:r>
            <w:r w:rsidR="00BB1345">
              <w:rPr>
                <w:color w:val="00A69B"/>
              </w:rPr>
              <w:t>47,50</w:t>
            </w:r>
            <w:r>
              <w:rPr>
                <w:color w:val="00A69B"/>
              </w:rPr>
              <w:t xml:space="preserve">,- </w:t>
            </w:r>
          </w:p>
        </w:tc>
      </w:tr>
      <w:tr w:rsidR="00D870D3" w14:paraId="058EC76B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22E33CBE" w14:textId="5D32C0AD" w:rsidR="00D870D3" w:rsidRDefault="00BB1345">
            <w:pPr>
              <w:spacing w:after="0" w:line="259" w:lineRule="auto"/>
              <w:ind w:left="0" w:firstLine="0"/>
            </w:pPr>
            <w:r>
              <w:t>Sessie van 45 minuten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029E14C0" w14:textId="570AACBA" w:rsidR="00D870D3" w:rsidRDefault="00000000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</w:t>
            </w:r>
            <w:r w:rsidR="00BB1345">
              <w:rPr>
                <w:color w:val="00A69B"/>
              </w:rPr>
              <w:t>52,50</w:t>
            </w:r>
            <w:r>
              <w:rPr>
                <w:color w:val="00A69B"/>
              </w:rPr>
              <w:t xml:space="preserve">,- </w:t>
            </w:r>
          </w:p>
        </w:tc>
      </w:tr>
      <w:tr w:rsidR="00132D60" w14:paraId="0322427D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6B7E6EAB" w14:textId="7B973BA6" w:rsidR="00132D60" w:rsidRDefault="00132D60" w:rsidP="00132D60">
            <w:pPr>
              <w:spacing w:after="0" w:line="259" w:lineRule="auto"/>
              <w:ind w:left="0" w:firstLine="0"/>
            </w:pPr>
            <w:r>
              <w:t>Onderzoek en verslaglegging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6C6894D3" w14:textId="5F2EE8E6" w:rsidR="00132D60" w:rsidRDefault="00132D60" w:rsidP="00132D60">
            <w:pPr>
              <w:spacing w:after="0" w:line="259" w:lineRule="auto"/>
              <w:ind w:left="0" w:right="45" w:firstLine="0"/>
              <w:jc w:val="right"/>
              <w:rPr>
                <w:rFonts w:ascii="Gautami" w:eastAsia="Gautami" w:hAnsi="Gautami" w:cs="Gautami"/>
                <w:color w:val="00A69B"/>
              </w:rPr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</w:t>
            </w:r>
            <w:r>
              <w:rPr>
                <w:color w:val="00A69B"/>
              </w:rPr>
              <w:t>65</w:t>
            </w:r>
            <w:r>
              <w:rPr>
                <w:color w:val="00A69B"/>
              </w:rPr>
              <w:t>,-</w:t>
            </w:r>
            <w:r>
              <w:rPr>
                <w:color w:val="00A69B"/>
              </w:rPr>
              <w:t xml:space="preserve"> p/u </w:t>
            </w:r>
            <w:r>
              <w:rPr>
                <w:color w:val="00A69B"/>
              </w:rPr>
              <w:t xml:space="preserve"> </w:t>
            </w:r>
          </w:p>
        </w:tc>
      </w:tr>
      <w:tr w:rsidR="00132D60" w14:paraId="6896F598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1851A28" w14:textId="04102922" w:rsidR="00132D60" w:rsidRDefault="00132D60" w:rsidP="00132D60">
            <w:pPr>
              <w:spacing w:after="0" w:line="259" w:lineRule="auto"/>
              <w:ind w:left="0" w:firstLine="0"/>
            </w:pPr>
            <w:r>
              <w:t>Gesprekken met ouders en/of andere betrokken partijen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7A494989" w14:textId="5309211A" w:rsidR="00132D60" w:rsidRDefault="00132D60" w:rsidP="00132D60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65,- p/u </w:t>
            </w:r>
          </w:p>
        </w:tc>
      </w:tr>
      <w:tr w:rsidR="00132D60" w14:paraId="29C2AF18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0258A68F" w14:textId="337DF285" w:rsidR="00132D60" w:rsidRDefault="00132D60" w:rsidP="00132D60">
            <w:pPr>
              <w:spacing w:after="0" w:line="259" w:lineRule="auto"/>
              <w:ind w:left="0" w:firstLine="0"/>
            </w:pPr>
            <w:r>
              <w:t>Groepstraining ‘Ik leer leren’ – inclusief werkboek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1DFA635D" w14:textId="45452830" w:rsidR="00132D60" w:rsidRDefault="00132D60" w:rsidP="00132D60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220,- </w:t>
            </w:r>
          </w:p>
        </w:tc>
      </w:tr>
      <w:tr w:rsidR="00132D60" w14:paraId="4C07ABB6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2CC40110" w14:textId="4668EC8F" w:rsidR="00132D60" w:rsidRDefault="00132D60" w:rsidP="00132D60">
            <w:pPr>
              <w:spacing w:after="0" w:line="259" w:lineRule="auto"/>
              <w:ind w:left="0" w:firstLine="0"/>
            </w:pPr>
            <w:r>
              <w:t>Groepstraining ‘</w:t>
            </w:r>
            <w:r>
              <w:t xml:space="preserve">Motivatie verhogen’ </w:t>
            </w:r>
            <w:r>
              <w:t>– inclusief werkboek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76699861" w14:textId="2AF0475E" w:rsidR="00132D60" w:rsidRDefault="00132D60" w:rsidP="00132D60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85, </w:t>
            </w:r>
          </w:p>
        </w:tc>
      </w:tr>
      <w:tr w:rsidR="00132D60" w14:paraId="4F6AD9E5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D53434D" w14:textId="3E38F330" w:rsidR="00132D60" w:rsidRDefault="00132D60" w:rsidP="00132D60">
            <w:pPr>
              <w:spacing w:after="0" w:line="259" w:lineRule="auto"/>
              <w:ind w:left="0" w:firstLine="0"/>
            </w:pPr>
            <w:r>
              <w:t>Groepstraining ‘</w:t>
            </w:r>
            <w:r>
              <w:t xml:space="preserve">Plannen en uitvoeren’ </w:t>
            </w:r>
            <w:r>
              <w:t>– inclusief werkboek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E49C72C" w14:textId="06C823AF" w:rsidR="00132D60" w:rsidRDefault="00132D60" w:rsidP="00132D60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Gautami" w:eastAsia="Gautami" w:hAnsi="Gautami" w:cs="Gautami"/>
                <w:color w:val="00A69B"/>
                <w:u w:val="single" w:color="00A69B"/>
              </w:rPr>
              <w:t>​</w:t>
            </w: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85,- </w:t>
            </w:r>
          </w:p>
        </w:tc>
      </w:tr>
      <w:tr w:rsidR="00132D60" w14:paraId="4C5A5265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1360A25" w14:textId="51008C16" w:rsidR="00132D60" w:rsidRDefault="00132D60" w:rsidP="00132D60">
            <w:pPr>
              <w:spacing w:after="0" w:line="259" w:lineRule="auto"/>
              <w:ind w:left="0" w:firstLine="0"/>
            </w:pPr>
            <w:r>
              <w:t>Aanschaf app werkgeheugen-programma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2130131F" w14:textId="77777777" w:rsidR="00132D60" w:rsidRDefault="00132D60" w:rsidP="00132D60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00A69B"/>
                <w:u w:val="single" w:color="00A69B"/>
              </w:rPr>
              <w:t>+</w:t>
            </w:r>
            <w:r>
              <w:rPr>
                <w:rFonts w:ascii="Gautami" w:eastAsia="Gautami" w:hAnsi="Gautami" w:cs="Gautami"/>
                <w:color w:val="00A69B"/>
                <w:u w:val="single" w:color="00A69B"/>
              </w:rPr>
              <w:t>​</w:t>
            </w:r>
            <w:r>
              <w:rPr>
                <w:color w:val="00A69B"/>
              </w:rPr>
              <w:t xml:space="preserve"> </w:t>
            </w: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55,- </w:t>
            </w:r>
          </w:p>
        </w:tc>
      </w:tr>
      <w:tr w:rsidR="00132D60" w14:paraId="6FBD24C7" w14:textId="77777777">
        <w:trPr>
          <w:trHeight w:val="420"/>
        </w:trPr>
        <w:tc>
          <w:tcPr>
            <w:tcW w:w="573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4017C721" w14:textId="6F8E6711" w:rsidR="00132D60" w:rsidRDefault="00132D60" w:rsidP="00132D60">
            <w:pPr>
              <w:spacing w:after="0" w:line="259" w:lineRule="auto"/>
              <w:ind w:left="0" w:firstLine="0"/>
            </w:pPr>
            <w:r>
              <w:t>Reiskosten</w:t>
            </w:r>
          </w:p>
        </w:tc>
        <w:tc>
          <w:tcPr>
            <w:tcW w:w="322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6B3F200B" w14:textId="04A46A9B" w:rsidR="00132D60" w:rsidRDefault="00132D60" w:rsidP="00132D60">
            <w:pPr>
              <w:spacing w:after="0" w:line="259" w:lineRule="auto"/>
              <w:ind w:left="0" w:right="54" w:firstLine="0"/>
              <w:jc w:val="right"/>
            </w:pPr>
            <w:r>
              <w:rPr>
                <w:rFonts w:ascii="Gautami" w:eastAsia="Gautami" w:hAnsi="Gautami" w:cs="Gautami"/>
                <w:color w:val="00A69B"/>
              </w:rPr>
              <w:t>€</w:t>
            </w:r>
            <w:r>
              <w:rPr>
                <w:color w:val="00A69B"/>
              </w:rPr>
              <w:t xml:space="preserve"> 0,30 p/km </w:t>
            </w:r>
          </w:p>
        </w:tc>
      </w:tr>
    </w:tbl>
    <w:p w14:paraId="2FCC6BF3" w14:textId="77777777" w:rsidR="00D870D3" w:rsidRDefault="00000000">
      <w:pPr>
        <w:spacing w:after="155" w:line="259" w:lineRule="auto"/>
        <w:ind w:left="0" w:firstLine="0"/>
      </w:pPr>
      <w:r>
        <w:t xml:space="preserve"> </w:t>
      </w:r>
    </w:p>
    <w:p w14:paraId="505605BE" w14:textId="77777777" w:rsidR="00D870D3" w:rsidRDefault="00000000">
      <w:pPr>
        <w:spacing w:after="155" w:line="259" w:lineRule="auto"/>
        <w:ind w:left="0" w:firstLine="0"/>
      </w:pPr>
      <w:r>
        <w:rPr>
          <w:b/>
        </w:rPr>
        <w:t xml:space="preserve">Betaling </w:t>
      </w:r>
    </w:p>
    <w:p w14:paraId="0F273A45" w14:textId="77777777" w:rsidR="00D870D3" w:rsidRDefault="00000000">
      <w:pPr>
        <w:ind w:left="-5"/>
      </w:pPr>
      <w:r>
        <w:t xml:space="preserve">Als een begeleiding niet door kan gaan, moet dit tenminste 24 uur van </w:t>
      </w:r>
      <w:proofErr w:type="gramStart"/>
      <w:r>
        <w:t>te voren</w:t>
      </w:r>
      <w:proofErr w:type="gramEnd"/>
      <w:r>
        <w:t xml:space="preserve"> worden gemeld, ik ben anders genoodzaakt de sessie in rekening te brengen. De tijd is namelijk voor u of uw kind/de student gereserveerd. In onderling overleg kan er altijd gekeken worden naar een vervangende tijd.  Aan het einde van de maand krijgt u een factuur met het verzoek deze binnen 14 dagen na dagtekening te voldoen. Alle genoemde prijzen zijn inclusief BTW, </w:t>
      </w:r>
      <w:proofErr w:type="spellStart"/>
      <w:r>
        <w:t>onderwijsgerelateerde</w:t>
      </w:r>
      <w:proofErr w:type="spellEnd"/>
      <w:r>
        <w:t xml:space="preserve"> </w:t>
      </w:r>
      <w:proofErr w:type="gramStart"/>
      <w:r>
        <w:t>diensten  zijn</w:t>
      </w:r>
      <w:proofErr w:type="gramEnd"/>
      <w:r>
        <w:t xml:space="preserve"> BTW-vrijgesteld. </w:t>
      </w:r>
    </w:p>
    <w:sectPr w:rsidR="00D870D3">
      <w:pgSz w:w="11920" w:h="16860"/>
      <w:pgMar w:top="1440" w:right="154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D3"/>
    <w:rsid w:val="00132D60"/>
    <w:rsid w:val="00BB1345"/>
    <w:rsid w:val="00D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2A8BB5"/>
  <w15:docId w15:val="{ECD682D2-38BB-3B48-B3C3-735DA52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1" w:line="222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Mollema</dc:creator>
  <cp:keywords/>
  <cp:lastModifiedBy>Ruth Mollema</cp:lastModifiedBy>
  <cp:revision>2</cp:revision>
  <dcterms:created xsi:type="dcterms:W3CDTF">2022-06-30T17:45:00Z</dcterms:created>
  <dcterms:modified xsi:type="dcterms:W3CDTF">2022-06-30T17:45:00Z</dcterms:modified>
</cp:coreProperties>
</file>